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EB" w:rsidRPr="00E9305E" w:rsidRDefault="00DE1492" w:rsidP="00E9305E">
      <w:pPr>
        <w:jc w:val="center"/>
        <w:rPr>
          <w:b/>
        </w:rPr>
      </w:pPr>
      <w:r w:rsidRPr="00E9305E">
        <w:rPr>
          <w:b/>
        </w:rPr>
        <w:t>Osteoporosis</w:t>
      </w:r>
      <w:r w:rsidR="00E9305E" w:rsidRPr="00E9305E">
        <w:rPr>
          <w:b/>
        </w:rPr>
        <w:t xml:space="preserve"> </w:t>
      </w:r>
      <w:r w:rsidR="001E5303">
        <w:rPr>
          <w:b/>
        </w:rPr>
        <w:t>Overview</w:t>
      </w:r>
    </w:p>
    <w:p w:rsidR="00DE1492" w:rsidRPr="00E9305E" w:rsidRDefault="00DE1492" w:rsidP="00E9305E">
      <w:pPr>
        <w:jc w:val="center"/>
        <w:rPr>
          <w:b/>
        </w:rPr>
      </w:pPr>
    </w:p>
    <w:p w:rsidR="007C346C" w:rsidRDefault="007C346C">
      <w:pPr>
        <w:rPr>
          <w:i/>
        </w:rPr>
      </w:pPr>
      <w:r>
        <w:rPr>
          <w:i/>
        </w:rPr>
        <w:t>This is a short overview with links for further information</w:t>
      </w:r>
      <w:r w:rsidR="00DC7344">
        <w:rPr>
          <w:i/>
        </w:rPr>
        <w:t xml:space="preserve"> on this large topic</w:t>
      </w:r>
      <w:r>
        <w:rPr>
          <w:i/>
        </w:rPr>
        <w:t>.</w:t>
      </w:r>
    </w:p>
    <w:p w:rsidR="007C346C" w:rsidRDefault="007C346C">
      <w:pPr>
        <w:rPr>
          <w:i/>
        </w:rPr>
      </w:pPr>
    </w:p>
    <w:p w:rsidR="00D218AE" w:rsidRDefault="000E55CA">
      <w:r>
        <w:rPr>
          <w:i/>
        </w:rPr>
        <w:t>Background/Significance:</w:t>
      </w:r>
      <w:r w:rsidR="0015632D">
        <w:rPr>
          <w:i/>
        </w:rPr>
        <w:t xml:space="preserve"> </w:t>
      </w:r>
      <w:r w:rsidR="00D218AE">
        <w:t xml:space="preserve">Osteoporosis is a systemic skeletal disease characterized by low bone mass and </w:t>
      </w:r>
      <w:proofErr w:type="spellStart"/>
      <w:r w:rsidR="00D218AE">
        <w:t>microarchitectural</w:t>
      </w:r>
      <w:proofErr w:type="spellEnd"/>
      <w:r w:rsidR="00D218AE">
        <w:t xml:space="preserve"> deterioration of bone tissue with a consequent increase in bone fragility and fracture risk.</w:t>
      </w:r>
      <w:r w:rsidR="00D218AE">
        <w:rPr>
          <w:rStyle w:val="EndnoteReference"/>
        </w:rPr>
        <w:endnoteReference w:id="1"/>
      </w:r>
      <w:r w:rsidR="004F010B">
        <w:t xml:space="preserve"> </w:t>
      </w:r>
      <w:r w:rsidR="0041442C">
        <w:t xml:space="preserve">It remains </w:t>
      </w:r>
      <w:r w:rsidR="007C346C">
        <w:t>under recognized</w:t>
      </w:r>
      <w:r w:rsidR="0041442C">
        <w:t xml:space="preserve"> and undertreated, more so in men, due to a perception that it is a disease primarily a</w:t>
      </w:r>
      <w:r w:rsidR="004B6635">
        <w:t>ffecting women as they age.</w:t>
      </w:r>
      <w:r w:rsidR="004B6635">
        <w:rPr>
          <w:rStyle w:val="EndnoteReference"/>
        </w:rPr>
        <w:endnoteReference w:id="2"/>
      </w:r>
      <w:r w:rsidR="0041442C">
        <w:t xml:space="preserve"> </w:t>
      </w:r>
      <w:r w:rsidR="004F010B">
        <w:t xml:space="preserve">Hip fractures are usually </w:t>
      </w:r>
      <w:r w:rsidR="005B405F">
        <w:t xml:space="preserve">the </w:t>
      </w:r>
      <w:r w:rsidR="004F010B">
        <w:t>resu</w:t>
      </w:r>
      <w:r w:rsidR="00A94E7E">
        <w:t>lt of a lateral fall in individuals</w:t>
      </w:r>
      <w:r w:rsidR="004F010B">
        <w:t xml:space="preserve"> with underlying osteoporosis or low bone mass. Hip fractures are associated with significant </w:t>
      </w:r>
      <w:r w:rsidR="00A94E7E">
        <w:t>morbidity</w:t>
      </w:r>
      <w:r w:rsidR="004F010B">
        <w:t>, mortality</w:t>
      </w:r>
      <w:r w:rsidR="00A94E7E">
        <w:t>, increased risk of institutionalization</w:t>
      </w:r>
      <w:r w:rsidR="004F010B">
        <w:t xml:space="preserve"> and cost</w:t>
      </w:r>
      <w:r w:rsidR="00A94E7E">
        <w:t>, especially in men</w:t>
      </w:r>
      <w:r w:rsidR="004F010B">
        <w:t>.</w:t>
      </w:r>
      <w:r w:rsidR="00A94E7E">
        <w:rPr>
          <w:rStyle w:val="EndnoteReference"/>
        </w:rPr>
        <w:endnoteReference w:id="3"/>
      </w:r>
      <w:r w:rsidR="00A94E7E" w:rsidRPr="008A4603">
        <w:rPr>
          <w:vertAlign w:val="superscript"/>
        </w:rPr>
        <w:t>,</w:t>
      </w:r>
      <w:r w:rsidR="00A94E7E">
        <w:rPr>
          <w:rStyle w:val="EndnoteReference"/>
        </w:rPr>
        <w:endnoteReference w:id="4"/>
      </w:r>
      <w:r w:rsidR="004F010B">
        <w:t xml:space="preserve"> </w:t>
      </w:r>
      <w:r w:rsidR="0041442C">
        <w:t>One in three men die</w:t>
      </w:r>
      <w:r w:rsidR="00A63095">
        <w:t xml:space="preserve"> in the </w:t>
      </w:r>
      <w:r w:rsidR="0082346E">
        <w:t>first year after a hip fracture and one third will fracture again.</w:t>
      </w:r>
      <w:r w:rsidR="0082346E">
        <w:rPr>
          <w:rStyle w:val="EndnoteReference"/>
        </w:rPr>
        <w:endnoteReference w:id="5"/>
      </w:r>
      <w:r w:rsidR="004B6635">
        <w:t xml:space="preserve"> </w:t>
      </w:r>
    </w:p>
    <w:p w:rsidR="004F010B" w:rsidRDefault="004F010B"/>
    <w:p w:rsidR="004F010B" w:rsidRDefault="004F010B">
      <w:r w:rsidRPr="0015632D">
        <w:rPr>
          <w:i/>
        </w:rPr>
        <w:t>Epidemiology:</w:t>
      </w:r>
      <w:r>
        <w:t xml:space="preserve"> </w:t>
      </w:r>
      <w:r w:rsidR="0041442C">
        <w:t>Fracture incidence in women starts increasing at age 55 and in men about 10 years later.</w:t>
      </w:r>
      <w:r w:rsidR="00A63095">
        <w:t xml:space="preserve"> </w:t>
      </w:r>
      <w:r w:rsidR="0041442C">
        <w:t>The remaining lifetime risk of osteoporotic fracture at age 50 is 20-25% in men vs. 45-55% in women for Caucasian populations.</w:t>
      </w:r>
      <w:r w:rsidR="00A63095">
        <w:rPr>
          <w:rStyle w:val="EndnoteReference"/>
        </w:rPr>
        <w:endnoteReference w:id="6"/>
      </w:r>
      <w:r w:rsidR="00A63095">
        <w:t xml:space="preserve"> </w:t>
      </w:r>
      <w:r w:rsidR="00563FA2">
        <w:t>BMD-defined osteoporosis and osteopenia (using female references) occur in respect</w:t>
      </w:r>
      <w:r w:rsidR="007C346C">
        <w:t>ively 4% and 38% of US men vs. 1</w:t>
      </w:r>
      <w:r w:rsidR="00563FA2">
        <w:t>6% and 61% of women over 50 years.</w:t>
      </w:r>
      <w:r w:rsidR="00563FA2">
        <w:rPr>
          <w:rStyle w:val="EndnoteReference"/>
        </w:rPr>
        <w:endnoteReference w:id="7"/>
      </w:r>
      <w:r w:rsidR="00563FA2">
        <w:t xml:space="preserve"> </w:t>
      </w:r>
      <w:r w:rsidR="00A63095">
        <w:t xml:space="preserve">Men account for 39% of 9 million osteoporotic fractures (hip, spine, </w:t>
      </w:r>
      <w:proofErr w:type="spellStart"/>
      <w:r w:rsidR="00A63095">
        <w:t>humerus</w:t>
      </w:r>
      <w:proofErr w:type="spellEnd"/>
      <w:r w:rsidR="00A63095">
        <w:t>, forearm, and other sites) worldwide.</w:t>
      </w:r>
      <w:r w:rsidR="00A63095">
        <w:rPr>
          <w:rStyle w:val="EndnoteReference"/>
        </w:rPr>
        <w:endnoteReference w:id="8"/>
      </w:r>
      <w:r w:rsidR="00A63095">
        <w:t xml:space="preserve"> </w:t>
      </w:r>
      <w:r w:rsidR="00065187">
        <w:t>As per CDC, by 2030, the number of hip fractures among men is expected to increase 51.8% (PI=15.9-119.4%), while the number among women is expected to decrease 3.5% (PI=-44.3%-37.3%).</w:t>
      </w:r>
      <w:r w:rsidR="00065187">
        <w:rPr>
          <w:rStyle w:val="EndnoteReference"/>
        </w:rPr>
        <w:endnoteReference w:id="9"/>
      </w:r>
    </w:p>
    <w:p w:rsidR="000969DB" w:rsidRDefault="000969DB"/>
    <w:p w:rsidR="000969DB" w:rsidRDefault="000969DB">
      <w:r w:rsidRPr="0015632D">
        <w:rPr>
          <w:i/>
        </w:rPr>
        <w:t>Pathophysiology:</w:t>
      </w:r>
      <w:r w:rsidR="000E55CA" w:rsidRPr="0015632D">
        <w:rPr>
          <w:i/>
        </w:rPr>
        <w:t xml:space="preserve"> </w:t>
      </w:r>
      <w:r w:rsidR="000E55CA">
        <w:t xml:space="preserve">Fracture risk is determined by falls risk, bone size and geometry, bone mineral density (BMD), microarchitecture, higher peak bone mass and the balance of bone </w:t>
      </w:r>
      <w:proofErr w:type="spellStart"/>
      <w:r w:rsidR="000E55CA">
        <w:t>resorption</w:t>
      </w:r>
      <w:proofErr w:type="spellEnd"/>
      <w:r w:rsidR="000E55CA">
        <w:t xml:space="preserve"> and formation.</w:t>
      </w:r>
      <w:r w:rsidR="00563FA2">
        <w:rPr>
          <w:rStyle w:val="EndnoteReference"/>
        </w:rPr>
        <w:endnoteReference w:id="10"/>
      </w:r>
      <w:r w:rsidR="00563FA2">
        <w:t xml:space="preserve"> Falls, </w:t>
      </w:r>
      <w:proofErr w:type="spellStart"/>
      <w:r w:rsidR="00563FA2">
        <w:t>sarcopenia</w:t>
      </w:r>
      <w:proofErr w:type="spellEnd"/>
      <w:r w:rsidR="00563FA2">
        <w:t xml:space="preserve"> and frailty are independent and potentially modifiable fracture risk factors. </w:t>
      </w:r>
      <w:proofErr w:type="spellStart"/>
      <w:r w:rsidR="00563FA2">
        <w:t>Sarcopenia</w:t>
      </w:r>
      <w:proofErr w:type="spellEnd"/>
      <w:r w:rsidR="00563FA2">
        <w:t xml:space="preserve"> correlates negatively with bone density, geometry, balance and positively with falls and fractures.</w:t>
      </w:r>
      <w:r w:rsidR="00A2637B">
        <w:rPr>
          <w:rStyle w:val="EndnoteReference"/>
        </w:rPr>
        <w:endnoteReference w:id="11"/>
      </w:r>
      <w:r w:rsidR="00A2637B">
        <w:t xml:space="preserve"> Poor physical performance and clinical tests of balance and frailty also correlate with BMD and bone microarchitecture.</w:t>
      </w:r>
      <w:r w:rsidR="00A2637B">
        <w:rPr>
          <w:rStyle w:val="EndnoteReference"/>
        </w:rPr>
        <w:endnoteReference w:id="12"/>
      </w:r>
      <w:r w:rsidR="00C6216A">
        <w:t xml:space="preserve"> </w:t>
      </w:r>
      <w:r w:rsidR="00EE33B0">
        <w:t xml:space="preserve">A number of secondary causes can contribute to development of osteoporosis, especially in men, including use of </w:t>
      </w:r>
      <w:r w:rsidR="007D3294">
        <w:t xml:space="preserve">medications like </w:t>
      </w:r>
      <w:r w:rsidR="00EE33B0">
        <w:t>glucocorticoids, androgen deprivation therapy, lifestyle factors like smoking, alcohol abuse</w:t>
      </w:r>
      <w:r w:rsidR="007D3294">
        <w:t xml:space="preserve">, lack of physical activity, low body weight, </w:t>
      </w:r>
      <w:r w:rsidR="007C346C">
        <w:t>etc.</w:t>
      </w:r>
    </w:p>
    <w:p w:rsidR="005B405F" w:rsidRDefault="005B405F"/>
    <w:p w:rsidR="000969DB" w:rsidRPr="007C346C" w:rsidRDefault="007C346C">
      <w:pPr>
        <w:rPr>
          <w:i/>
        </w:rPr>
      </w:pPr>
      <w:r>
        <w:rPr>
          <w:i/>
        </w:rPr>
        <w:t>Diagnosis/</w:t>
      </w:r>
      <w:r w:rsidR="00076599" w:rsidRPr="007C346C">
        <w:rPr>
          <w:i/>
        </w:rPr>
        <w:t>Screening</w:t>
      </w:r>
      <w:r w:rsidR="000969DB" w:rsidRPr="007C346C">
        <w:rPr>
          <w:i/>
        </w:rPr>
        <w:t>:</w:t>
      </w:r>
      <w:r w:rsidR="008377D8" w:rsidRPr="007C346C">
        <w:rPr>
          <w:i/>
        </w:rPr>
        <w:t xml:space="preserve"> </w:t>
      </w:r>
    </w:p>
    <w:p w:rsidR="00076599" w:rsidRDefault="007D3294">
      <w:pPr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>
        <w:t xml:space="preserve">As per the </w:t>
      </w:r>
      <w:hyperlink r:id="rId9" w:history="1">
        <w:r w:rsidRPr="00C707AB">
          <w:rPr>
            <w:rStyle w:val="Hyperlink"/>
          </w:rPr>
          <w:t>National Osteoporosis Foundation Osteoporosis Guideline</w:t>
        </w:r>
      </w:hyperlink>
      <w:r>
        <w:t xml:space="preserve"> </w:t>
      </w:r>
      <w:r w:rsidR="00076599">
        <w:t>(2013)</w:t>
      </w:r>
      <w:r w:rsidR="00C707AB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, </w:t>
      </w:r>
      <w:bookmarkStart w:id="0" w:name="_GoBack"/>
      <w:bookmarkEnd w:id="0"/>
      <w:r w:rsidR="00076599" w:rsidRPr="00076599">
        <w:rPr>
          <w:rStyle w:val="Hyperlink"/>
          <w:rFonts w:ascii="Calibri" w:hAnsi="Calibri"/>
          <w:color w:val="auto"/>
          <w:sz w:val="22"/>
          <w:szCs w:val="22"/>
          <w:u w:val="none"/>
        </w:rPr>
        <w:t>BMD testing should be considered in the following individuals</w:t>
      </w:r>
      <w:r w:rsidR="00ED14E9">
        <w:rPr>
          <w:rStyle w:val="Hyperlink"/>
          <w:rFonts w:ascii="Calibri" w:hAnsi="Calibri"/>
          <w:color w:val="auto"/>
          <w:sz w:val="22"/>
          <w:szCs w:val="22"/>
          <w:u w:val="none"/>
        </w:rPr>
        <w:t xml:space="preserve"> (based on expert consensus)</w:t>
      </w:r>
      <w:r w:rsidR="00076599" w:rsidRPr="00076599">
        <w:rPr>
          <w:rStyle w:val="Hyperlink"/>
          <w:rFonts w:ascii="Calibri" w:hAnsi="Calibri"/>
          <w:color w:val="auto"/>
          <w:sz w:val="22"/>
          <w:szCs w:val="22"/>
          <w:u w:val="none"/>
        </w:rPr>
        <w:t>:</w:t>
      </w:r>
    </w:p>
    <w:p w:rsidR="00076599" w:rsidRDefault="00076599" w:rsidP="00076599">
      <w:pPr>
        <w:pStyle w:val="ListParagraph"/>
        <w:numPr>
          <w:ilvl w:val="0"/>
          <w:numId w:val="1"/>
        </w:numPr>
      </w:pPr>
      <w:r>
        <w:t>Women age 65 and older and men age 70 and older, regardless of clinical factors</w:t>
      </w:r>
    </w:p>
    <w:p w:rsidR="00076599" w:rsidRDefault="00076599" w:rsidP="00076599">
      <w:pPr>
        <w:pStyle w:val="ListParagraph"/>
        <w:numPr>
          <w:ilvl w:val="0"/>
          <w:numId w:val="1"/>
        </w:numPr>
      </w:pPr>
      <w:r>
        <w:t>Younger postmenopausal women, women in the menopausal transition and men age 50 to 69 with clinical risk factors for fracture</w:t>
      </w:r>
    </w:p>
    <w:p w:rsidR="00076599" w:rsidRDefault="00076599" w:rsidP="00076599">
      <w:pPr>
        <w:pStyle w:val="ListParagraph"/>
        <w:numPr>
          <w:ilvl w:val="0"/>
          <w:numId w:val="1"/>
        </w:numPr>
      </w:pPr>
      <w:r>
        <w:t>Adults who have a fracture after age 50</w:t>
      </w:r>
    </w:p>
    <w:p w:rsidR="00076599" w:rsidRDefault="00076599" w:rsidP="00076599">
      <w:pPr>
        <w:pStyle w:val="ListParagraph"/>
        <w:numPr>
          <w:ilvl w:val="0"/>
          <w:numId w:val="1"/>
        </w:numPr>
      </w:pPr>
      <w:r>
        <w:t>Adults with a condition (e.g. rheumatoid arthritis) or taking a medication (e.g. glucocorticoids in a daily dose &gt;5mg prednisone or equivalent for &gt; three months associated with low bone mass or bone loss</w:t>
      </w:r>
    </w:p>
    <w:p w:rsidR="00C707AB" w:rsidRDefault="00C707AB" w:rsidP="00C707AB">
      <w:pPr>
        <w:pStyle w:val="ListParagraph"/>
      </w:pPr>
    </w:p>
    <w:p w:rsidR="00076599" w:rsidRDefault="00C707AB" w:rsidP="00FC7828">
      <w:pPr>
        <w:ind w:left="360"/>
      </w:pPr>
      <w:hyperlink r:id="rId10" w:history="1">
        <w:r w:rsidR="00FC7828" w:rsidRPr="00C707AB">
          <w:rPr>
            <w:rStyle w:val="Hyperlink"/>
          </w:rPr>
          <w:t>US Preventive Services Task Force</w:t>
        </w:r>
      </w:hyperlink>
      <w:r w:rsidR="00FC7828">
        <w:t xml:space="preserve"> doe</w:t>
      </w:r>
      <w:r>
        <w:t>s not support screening in men.</w:t>
      </w:r>
    </w:p>
    <w:p w:rsidR="00FC7828" w:rsidRDefault="00FC7828" w:rsidP="00FC7828">
      <w:pPr>
        <w:ind w:left="360"/>
      </w:pPr>
    </w:p>
    <w:p w:rsidR="00076599" w:rsidRDefault="00076599">
      <w:r>
        <w:t>Diagnosis:</w:t>
      </w:r>
      <w:r w:rsidR="00ED14E9">
        <w:t xml:space="preserve"> </w:t>
      </w:r>
      <w:r w:rsidR="004B6635">
        <w:t xml:space="preserve">Clinical evaluation (history, physical exam, selected blood test, as indicated) and </w:t>
      </w:r>
      <w:r w:rsidR="00ED14E9">
        <w:t>DXA</w:t>
      </w:r>
      <w:r w:rsidR="00211E23">
        <w:t xml:space="preserve"> BMD &lt;-2.5 SD</w:t>
      </w:r>
    </w:p>
    <w:p w:rsidR="00ED14E9" w:rsidRDefault="00C707AB">
      <w:hyperlink r:id="rId11" w:history="1">
        <w:r w:rsidR="00ED14E9" w:rsidRPr="00C707AB">
          <w:rPr>
            <w:rStyle w:val="Hyperlink"/>
          </w:rPr>
          <w:t>Fracture risk assessment tools like FR</w:t>
        </w:r>
        <w:r w:rsidR="00211E23" w:rsidRPr="00C707AB">
          <w:rPr>
            <w:rStyle w:val="Hyperlink"/>
          </w:rPr>
          <w:t>A</w:t>
        </w:r>
        <w:r w:rsidR="00ED14E9" w:rsidRPr="00C707AB">
          <w:rPr>
            <w:rStyle w:val="Hyperlink"/>
          </w:rPr>
          <w:t>X</w:t>
        </w:r>
      </w:hyperlink>
      <w:r>
        <w:t xml:space="preserve">  </w:t>
      </w:r>
      <w:r w:rsidR="00211E23">
        <w:t>may be used to target DXA screening or osteoporosis therapy, but its use in men requires further investigation.</w:t>
      </w:r>
    </w:p>
    <w:p w:rsidR="00211E23" w:rsidRDefault="00211E23">
      <w:r>
        <w:t>Bone turnover markers are currently not recommended for clinical use.</w:t>
      </w:r>
    </w:p>
    <w:p w:rsidR="004B6635" w:rsidRDefault="004B6635"/>
    <w:p w:rsidR="000969DB" w:rsidRPr="007C346C" w:rsidRDefault="000969DB">
      <w:pPr>
        <w:rPr>
          <w:i/>
        </w:rPr>
      </w:pPr>
      <w:r w:rsidRPr="007C346C">
        <w:rPr>
          <w:i/>
        </w:rPr>
        <w:t>Treatment:</w:t>
      </w:r>
      <w:r w:rsidR="00211E23" w:rsidRPr="007C346C">
        <w:rPr>
          <w:i/>
        </w:rPr>
        <w:t xml:space="preserve"> </w:t>
      </w:r>
    </w:p>
    <w:p w:rsidR="00211E23" w:rsidRDefault="00211E23">
      <w:r>
        <w:t>Indications for</w:t>
      </w:r>
      <w:r w:rsidR="00945C90">
        <w:t xml:space="preserve"> pharmacological </w:t>
      </w:r>
      <w:r>
        <w:t xml:space="preserve">treatment: NOF guideline recommends treating osteoporosis after hip or vertebral fractures or with T-scores&lt;-2.5, </w:t>
      </w:r>
      <w:r w:rsidR="004B6635">
        <w:t>as well as, in postmenopausal women and men</w:t>
      </w:r>
      <w:r w:rsidR="005B405F">
        <w:t xml:space="preserve"> </w:t>
      </w:r>
      <w:r w:rsidR="004B6635">
        <w:t>&gt;50 with osteopenia, if FRAX-based 10</w:t>
      </w:r>
      <w:r w:rsidR="005B405F">
        <w:t>-</w:t>
      </w:r>
      <w:r w:rsidR="004B6635">
        <w:t>y</w:t>
      </w:r>
      <w:r w:rsidR="00945C90">
        <w:t>ea</w:t>
      </w:r>
      <w:r w:rsidR="004B6635">
        <w:t>r hip or major osteoporotic fracture probability is &gt;3% or &gt;20%</w:t>
      </w:r>
      <w:r w:rsidR="005B405F">
        <w:t>, respectively</w:t>
      </w:r>
      <w:r w:rsidR="004B6635">
        <w:t xml:space="preserve">. </w:t>
      </w:r>
    </w:p>
    <w:p w:rsidR="00E9305E" w:rsidRDefault="00945C90">
      <w:r>
        <w:t xml:space="preserve">Pharmacologic options available include </w:t>
      </w:r>
      <w:r w:rsidR="005B405F">
        <w:t>c</w:t>
      </w:r>
      <w:r>
        <w:t xml:space="preserve">alcium and vitamin D supplementation (1200mg/800IU), </w:t>
      </w:r>
      <w:proofErr w:type="spellStart"/>
      <w:r>
        <w:t>antiresorptive</w:t>
      </w:r>
      <w:proofErr w:type="spellEnd"/>
      <w:r>
        <w:t xml:space="preserve"> drugs (e.g. alendronate, </w:t>
      </w:r>
      <w:proofErr w:type="spellStart"/>
      <w:r>
        <w:t>risedronate</w:t>
      </w:r>
      <w:proofErr w:type="spellEnd"/>
      <w:r>
        <w:t xml:space="preserve">, </w:t>
      </w:r>
      <w:proofErr w:type="spellStart"/>
      <w:r w:rsidR="00760AE9">
        <w:t>zoledronic</w:t>
      </w:r>
      <w:proofErr w:type="spellEnd"/>
      <w:r w:rsidR="00760AE9">
        <w:t xml:space="preserve"> acid, </w:t>
      </w:r>
      <w:proofErr w:type="spellStart"/>
      <w:r w:rsidR="00760AE9">
        <w:t>denosumab</w:t>
      </w:r>
      <w:proofErr w:type="spellEnd"/>
      <w:r w:rsidR="00760AE9">
        <w:t xml:space="preserve">), </w:t>
      </w:r>
      <w:r>
        <w:t xml:space="preserve">selective estrogen modulators </w:t>
      </w:r>
      <w:r w:rsidR="00760AE9">
        <w:t>(</w:t>
      </w:r>
      <w:proofErr w:type="spellStart"/>
      <w:r>
        <w:t>raloxifene</w:t>
      </w:r>
      <w:proofErr w:type="spellEnd"/>
      <w:r w:rsidR="00760AE9">
        <w:t>),</w:t>
      </w:r>
      <w:r>
        <w:t xml:space="preserve"> anabolic drugs like intermittent parathyroid hormone (PTH) therapy and androg</w:t>
      </w:r>
      <w:r w:rsidR="0052180B">
        <w:t>ens</w:t>
      </w:r>
      <w:r>
        <w:t xml:space="preserve"> for </w:t>
      </w:r>
      <w:proofErr w:type="spellStart"/>
      <w:r>
        <w:t>hypogonadal</w:t>
      </w:r>
      <w:proofErr w:type="spellEnd"/>
      <w:r>
        <w:t xml:space="preserve"> men</w:t>
      </w:r>
      <w:r w:rsidR="0052180B">
        <w:t>, although not without safety concerns, especially in older men</w:t>
      </w:r>
      <w:r>
        <w:t>.</w:t>
      </w:r>
      <w:r w:rsidR="00FC7828">
        <w:rPr>
          <w:rStyle w:val="EndnoteReference"/>
        </w:rPr>
        <w:endnoteReference w:id="13"/>
      </w:r>
      <w:r w:rsidR="0052180B">
        <w:rPr>
          <w:rStyle w:val="EndnoteReference"/>
        </w:rPr>
        <w:endnoteReference w:id="14"/>
      </w:r>
    </w:p>
    <w:p w:rsidR="0052180B" w:rsidRDefault="0052180B"/>
    <w:p w:rsidR="00DE1492" w:rsidRDefault="007C346C">
      <w:r>
        <w:t>Here are currently a</w:t>
      </w:r>
      <w:r w:rsidR="00E9305E">
        <w:t>vailable resources for additional information:</w:t>
      </w:r>
    </w:p>
    <w:p w:rsidR="00DE1492" w:rsidRDefault="00DE1492"/>
    <w:p w:rsidR="00DE1492" w:rsidRPr="00076599" w:rsidRDefault="00E9305E" w:rsidP="00E9305E">
      <w:pPr>
        <w:pStyle w:val="Default"/>
        <w:rPr>
          <w:rFonts w:ascii="Times New Roman" w:hAnsi="Times New Roman" w:cs="Times New Roman"/>
        </w:rPr>
      </w:pPr>
      <w:r w:rsidRPr="00076599">
        <w:rPr>
          <w:rFonts w:ascii="Times New Roman" w:hAnsi="Times New Roman" w:cs="Times New Roman"/>
        </w:rPr>
        <w:t>AHRQ Osteoporosis Toolkit:</w:t>
      </w:r>
      <w:r w:rsidRPr="00076599">
        <w:rPr>
          <w:rFonts w:ascii="Times New Roman" w:hAnsi="Times New Roman" w:cs="Times New Roman"/>
          <w:b/>
        </w:rPr>
        <w:t xml:space="preserve"> </w:t>
      </w:r>
      <w:r w:rsidRPr="00076599">
        <w:rPr>
          <w:rFonts w:ascii="Times New Roman" w:hAnsi="Times New Roman" w:cs="Times New Roman"/>
        </w:rPr>
        <w:t>T</w:t>
      </w:r>
      <w:r w:rsidRPr="00076599">
        <w:rPr>
          <w:rFonts w:ascii="Times New Roman" w:hAnsi="Times New Roman" w:cs="Times New Roman"/>
          <w:bCs/>
        </w:rPr>
        <w:t>reatment To Prevent Fractures in Men and Women With Low Bone Density or Osteoporosis: Update of a 2007 Report</w:t>
      </w:r>
      <w:r w:rsidRPr="00076599">
        <w:rPr>
          <w:rFonts w:ascii="Times New Roman" w:hAnsi="Times New Roman" w:cs="Times New Roman"/>
          <w:b/>
          <w:bCs/>
        </w:rPr>
        <w:t xml:space="preserve"> </w:t>
      </w:r>
      <w:r w:rsidRPr="00076599">
        <w:rPr>
          <w:rFonts w:ascii="Times New Roman" w:hAnsi="Times New Roman" w:cs="Times New Roman"/>
        </w:rPr>
        <w:t xml:space="preserve">  </w:t>
      </w:r>
      <w:r w:rsidRPr="00076599">
        <w:rPr>
          <w:rStyle w:val="A4"/>
          <w:rFonts w:ascii="Times New Roman" w:hAnsi="Times New Roman" w:cs="Times New Roman"/>
          <w:sz w:val="24"/>
          <w:szCs w:val="24"/>
        </w:rPr>
        <w:t>AHRQ Pub. No. 12-EHC023-1 March 2012</w:t>
      </w:r>
      <w:r w:rsidR="00FC7828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  <w:r w:rsidR="00FC7828" w:rsidRPr="00FC7828">
        <w:rPr>
          <w:rStyle w:val="A4"/>
          <w:rFonts w:ascii="Times New Roman" w:hAnsi="Times New Roman" w:cs="Times New Roman"/>
          <w:sz w:val="24"/>
          <w:szCs w:val="24"/>
        </w:rPr>
        <w:t>http://effectivehealthcare.ahrq.gov/index.cfm/search-for-guides-reviews-and-reports/?pageaction=displayproduct&amp;productID=1007</w:t>
      </w:r>
    </w:p>
    <w:p w:rsidR="00DE1492" w:rsidRPr="00076599" w:rsidRDefault="00DE1492"/>
    <w:p w:rsidR="00DE1492" w:rsidRPr="00076599" w:rsidRDefault="00DE1492">
      <w:r w:rsidRPr="00076599">
        <w:t>VHA 2011 Information letter Osteoporosis in men</w:t>
      </w:r>
      <w:r w:rsidR="00E9305E" w:rsidRPr="00076599">
        <w:t>- gone</w:t>
      </w:r>
      <w:r w:rsidR="00DC7344">
        <w:t>?- could not find it</w:t>
      </w:r>
      <w:r w:rsidR="007C346C">
        <w:t xml:space="preserve"> on the VA website</w:t>
      </w:r>
    </w:p>
    <w:p w:rsidR="00DE1492" w:rsidRPr="00076599" w:rsidRDefault="00DE1492"/>
    <w:p w:rsidR="00DE1492" w:rsidRDefault="00DE1492">
      <w:r w:rsidRPr="00076599">
        <w:t>VHA HSRD, Evidence</w:t>
      </w:r>
      <w:r w:rsidR="00E9305E" w:rsidRPr="00076599">
        <w:t xml:space="preserve"> Synthesis Program: </w:t>
      </w:r>
      <w:hyperlink r:id="rId12" w:history="1">
        <w:r w:rsidR="00E9305E" w:rsidRPr="00C707AB">
          <w:rPr>
            <w:rStyle w:val="Hyperlink"/>
          </w:rPr>
          <w:t>Screening</w:t>
        </w:r>
        <w:r w:rsidRPr="00C707AB">
          <w:rPr>
            <w:rStyle w:val="Hyperlink"/>
          </w:rPr>
          <w:t xml:space="preserve"> for Osteoporosis: Who and How</w:t>
        </w:r>
        <w:r w:rsidR="00DC7344" w:rsidRPr="00C707AB">
          <w:rPr>
            <w:rStyle w:val="Hyperlink"/>
          </w:rPr>
          <w:t>?</w:t>
        </w:r>
      </w:hyperlink>
      <w:r w:rsidR="00DC7344">
        <w:t xml:space="preserve"> (2007).</w:t>
      </w:r>
    </w:p>
    <w:p w:rsidR="00DC7344" w:rsidRDefault="00DC7344"/>
    <w:p w:rsidR="00DE1492" w:rsidRDefault="00C707AB">
      <w:hyperlink r:id="rId13" w:history="1">
        <w:r w:rsidR="007C346C" w:rsidRPr="00C707AB">
          <w:rPr>
            <w:rStyle w:val="Hyperlink"/>
          </w:rPr>
          <w:t xml:space="preserve">Bone health and Osteoporosis: </w:t>
        </w:r>
        <w:r w:rsidR="00FC7828" w:rsidRPr="00C707AB">
          <w:rPr>
            <w:rStyle w:val="Hyperlink"/>
          </w:rPr>
          <w:t xml:space="preserve">US </w:t>
        </w:r>
        <w:r w:rsidR="007C346C" w:rsidRPr="00C707AB">
          <w:rPr>
            <w:rStyle w:val="Hyperlink"/>
          </w:rPr>
          <w:t>Surgeon General</w:t>
        </w:r>
      </w:hyperlink>
      <w:r w:rsidR="007C346C">
        <w:t xml:space="preserve"> (2007) </w:t>
      </w:r>
    </w:p>
    <w:p w:rsidR="007C346C" w:rsidRPr="00076599" w:rsidRDefault="007C346C"/>
    <w:p w:rsidR="00076599" w:rsidRDefault="0041442C">
      <w:r w:rsidRPr="00076599">
        <w:t xml:space="preserve">Patient education materials: </w:t>
      </w:r>
    </w:p>
    <w:p w:rsidR="00076599" w:rsidRDefault="00076599"/>
    <w:p w:rsidR="00DE1492" w:rsidRPr="00076599" w:rsidRDefault="0041442C">
      <w:r w:rsidRPr="00076599">
        <w:t>Available from NOF: The men’s guide to Osteoporosis</w:t>
      </w:r>
    </w:p>
    <w:p w:rsidR="0041442C" w:rsidRDefault="0041442C">
      <w:r w:rsidRPr="00076599">
        <w:t>Our video on Osteoporosis in men-where is the link</w:t>
      </w:r>
      <w:r w:rsidR="00DC7344">
        <w:t xml:space="preserve"> on our website</w:t>
      </w:r>
      <w:r w:rsidRPr="00076599">
        <w:t>?</w:t>
      </w:r>
    </w:p>
    <w:p w:rsidR="00076599" w:rsidRPr="00076599" w:rsidRDefault="00076599"/>
    <w:sectPr w:rsidR="00076599" w:rsidRPr="00076599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02" w:rsidRDefault="002B3802" w:rsidP="00D218AE">
      <w:r>
        <w:separator/>
      </w:r>
    </w:p>
  </w:endnote>
  <w:endnote w:type="continuationSeparator" w:id="0">
    <w:p w:rsidR="002B3802" w:rsidRDefault="002B3802" w:rsidP="00D218AE">
      <w:r>
        <w:continuationSeparator/>
      </w:r>
    </w:p>
  </w:endnote>
  <w:endnote w:id="1">
    <w:p w:rsidR="00D218AE" w:rsidRDefault="00D218AE">
      <w:pPr>
        <w:pStyle w:val="EndnoteText"/>
      </w:pPr>
      <w:r>
        <w:rPr>
          <w:rStyle w:val="EndnoteReference"/>
        </w:rPr>
        <w:endnoteRef/>
      </w:r>
      <w:r>
        <w:t xml:space="preserve"> NIH Consensus Development Panel on Osteoporosis Prevention, Diagnosis and Therapy. JAMA 2001;285-785-795</w:t>
      </w:r>
      <w:r w:rsidR="000969DB">
        <w:t>.</w:t>
      </w:r>
    </w:p>
  </w:endnote>
  <w:endnote w:id="2">
    <w:p w:rsidR="004B6635" w:rsidRDefault="004B6635">
      <w:pPr>
        <w:pStyle w:val="EndnoteText"/>
      </w:pPr>
      <w:r>
        <w:rPr>
          <w:rStyle w:val="EndnoteReference"/>
        </w:rPr>
        <w:endnoteRef/>
      </w:r>
      <w:r>
        <w:t xml:space="preserve"> Leslie WD, </w:t>
      </w:r>
      <w:proofErr w:type="spellStart"/>
      <w:r>
        <w:t>LaBine</w:t>
      </w:r>
      <w:proofErr w:type="spellEnd"/>
      <w:r>
        <w:t xml:space="preserve"> L, </w:t>
      </w:r>
      <w:proofErr w:type="spellStart"/>
      <w:r>
        <w:t>Klassen</w:t>
      </w:r>
      <w:proofErr w:type="spellEnd"/>
      <w:r>
        <w:t xml:space="preserve"> P et al. Closing the gap in </w:t>
      </w:r>
      <w:proofErr w:type="spellStart"/>
      <w:r>
        <w:t>postfracture</w:t>
      </w:r>
      <w:proofErr w:type="spellEnd"/>
      <w:r>
        <w:t xml:space="preserve"> care at the population level: a randomized controlled trial. Canadian Medical Association Journal 2012; 184:290-296.</w:t>
      </w:r>
    </w:p>
  </w:endnote>
  <w:endnote w:id="3">
    <w:p w:rsidR="00A94E7E" w:rsidRDefault="00A94E7E">
      <w:pPr>
        <w:pStyle w:val="EndnoteText"/>
      </w:pPr>
      <w:r>
        <w:rPr>
          <w:rStyle w:val="EndnoteReference"/>
        </w:rPr>
        <w:endnoteRef/>
      </w:r>
      <w:r>
        <w:t xml:space="preserve"> Bass E,</w:t>
      </w:r>
      <w:r w:rsidR="00DC7344">
        <w:t xml:space="preserve"> </w:t>
      </w:r>
      <w:r w:rsidR="00DC7344" w:rsidRPr="00DC7344">
        <w:t>Campbell RR, Werner D, Nelson A and Bulat T. Inpatient Mortality Trends for Hip Fractures in the VHA. J Nursing Rehab 2004;29:215-220.</w:t>
      </w:r>
      <w:r>
        <w:t xml:space="preserve"> </w:t>
      </w:r>
    </w:p>
  </w:endnote>
  <w:endnote w:id="4">
    <w:p w:rsidR="00A94E7E" w:rsidRDefault="00A94E7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0969DB">
        <w:t>Burge R, Dawson-Hughes B, Solomon DH et al. Incidence and economic burden of osteoporosis-related fractures in the United States., 2005-2025. Journal of Bone and Mineral research2007;22:465-475.</w:t>
      </w:r>
    </w:p>
  </w:endnote>
  <w:endnote w:id="5">
    <w:p w:rsidR="0082346E" w:rsidRDefault="0082346E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vonFriesendorff</w:t>
      </w:r>
      <w:proofErr w:type="spellEnd"/>
      <w:r>
        <w:t xml:space="preserve"> , </w:t>
      </w:r>
      <w:proofErr w:type="spellStart"/>
      <w:r>
        <w:t>McGuigan</w:t>
      </w:r>
      <w:proofErr w:type="spellEnd"/>
      <w:r>
        <w:t xml:space="preserve"> FE, </w:t>
      </w:r>
      <w:proofErr w:type="spellStart"/>
      <w:r>
        <w:t>Besjakov</w:t>
      </w:r>
      <w:proofErr w:type="spellEnd"/>
      <w:r>
        <w:t xml:space="preserve"> J et al. Hip fracture in men-survival and </w:t>
      </w:r>
      <w:r w:rsidR="00A2637B">
        <w:t>subsequent</w:t>
      </w:r>
      <w:r>
        <w:t xml:space="preserve"> fractures: a cohort study with 22 year follow-up. Journal of the American Geriatrics Society 2011;59:806-813.</w:t>
      </w:r>
    </w:p>
  </w:endnote>
  <w:endnote w:id="6">
    <w:p w:rsidR="00A63095" w:rsidRDefault="00A63095">
      <w:pPr>
        <w:pStyle w:val="EndnoteText"/>
      </w:pPr>
      <w:r>
        <w:rPr>
          <w:rStyle w:val="EndnoteReference"/>
        </w:rPr>
        <w:endnoteRef/>
      </w:r>
      <w:r>
        <w:t xml:space="preserve"> Nguyen HD, </w:t>
      </w:r>
      <w:proofErr w:type="spellStart"/>
      <w:r>
        <w:t>Ahlborg</w:t>
      </w:r>
      <w:proofErr w:type="spellEnd"/>
      <w:r>
        <w:t xml:space="preserve"> HG, Center JR et al. Residual lifetime risk of fractures in women and men. Journal of Bone and Mineral research 2007;22;781-788</w:t>
      </w:r>
    </w:p>
  </w:endnote>
  <w:endnote w:id="7">
    <w:p w:rsidR="00563FA2" w:rsidRDefault="00563FA2">
      <w:pPr>
        <w:pStyle w:val="EndnoteText"/>
      </w:pPr>
      <w:r>
        <w:rPr>
          <w:rStyle w:val="EndnoteReference"/>
        </w:rPr>
        <w:endnoteRef/>
      </w:r>
      <w:r>
        <w:t xml:space="preserve"> Looker AC, </w:t>
      </w:r>
      <w:proofErr w:type="spellStart"/>
      <w:r>
        <w:t>Melron</w:t>
      </w:r>
      <w:proofErr w:type="spellEnd"/>
      <w:r>
        <w:t xml:space="preserve"> 3</w:t>
      </w:r>
      <w:r w:rsidRPr="00563FA2">
        <w:rPr>
          <w:vertAlign w:val="superscript"/>
        </w:rPr>
        <w:t>rd</w:t>
      </w:r>
      <w:r>
        <w:t xml:space="preserve"> LJ, </w:t>
      </w:r>
      <w:proofErr w:type="spellStart"/>
      <w:r>
        <w:t>Borrud</w:t>
      </w:r>
      <w:proofErr w:type="spellEnd"/>
      <w:r>
        <w:t xml:space="preserve"> LG et al. Changes in femur neck bone density in US adults between 1988-1994 and 2005-2008: demographic patterns and possible </w:t>
      </w:r>
      <w:r w:rsidR="00A2637B">
        <w:t>determinants</w:t>
      </w:r>
      <w:r>
        <w:t>. Osteoporosis International 2012;23:771-780.</w:t>
      </w:r>
    </w:p>
  </w:endnote>
  <w:endnote w:id="8">
    <w:p w:rsidR="00A63095" w:rsidRDefault="00A63095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Jonell</w:t>
      </w:r>
      <w:proofErr w:type="spellEnd"/>
      <w:r>
        <w:t xml:space="preserve"> O and </w:t>
      </w:r>
      <w:proofErr w:type="spellStart"/>
      <w:r>
        <w:t>Kanis</w:t>
      </w:r>
      <w:proofErr w:type="spellEnd"/>
      <w:r>
        <w:t xml:space="preserve"> JA. An estimate of the worldwide prevalence and disability associated with osteoporotic fractures. Osteoporosis International 2006;17:1726-1733.</w:t>
      </w:r>
    </w:p>
  </w:endnote>
  <w:endnote w:id="9">
    <w:p w:rsidR="00065187" w:rsidRDefault="00065187">
      <w:pPr>
        <w:pStyle w:val="EndnoteText"/>
      </w:pPr>
      <w:r>
        <w:rPr>
          <w:rStyle w:val="EndnoteReference"/>
        </w:rPr>
        <w:endnoteRef/>
      </w:r>
      <w:r>
        <w:t xml:space="preserve"> Stevens JA and Rudd RA. The impact of decreasing US hip fracture rates on future hip fracture </w:t>
      </w:r>
      <w:proofErr w:type="spellStart"/>
      <w:r>
        <w:t>estimates.Osteoporos</w:t>
      </w:r>
      <w:proofErr w:type="spellEnd"/>
      <w:r>
        <w:t xml:space="preserve"> Int. 2013; 24:2725-2728.</w:t>
      </w:r>
    </w:p>
  </w:endnote>
  <w:endnote w:id="10">
    <w:p w:rsidR="00563FA2" w:rsidRDefault="00563FA2">
      <w:pPr>
        <w:pStyle w:val="EndnoteText"/>
      </w:pPr>
      <w:r>
        <w:rPr>
          <w:rStyle w:val="EndnoteReference"/>
        </w:rPr>
        <w:endnoteRef/>
      </w:r>
      <w:r>
        <w:t xml:space="preserve"> Laurent M, </w:t>
      </w:r>
      <w:proofErr w:type="spellStart"/>
      <w:r>
        <w:t>Gielen</w:t>
      </w:r>
      <w:proofErr w:type="spellEnd"/>
      <w:r>
        <w:t xml:space="preserve"> E, </w:t>
      </w:r>
      <w:proofErr w:type="spellStart"/>
      <w:r>
        <w:t>Claessens</w:t>
      </w:r>
      <w:proofErr w:type="spellEnd"/>
      <w:r>
        <w:t xml:space="preserve"> F et al. Osteoporosis in older men: recent advances in pathophysiology and treatment. Best Practice and Research Clinical Endocrinology &amp; Metabolism. 2013;27:527-539.</w:t>
      </w:r>
    </w:p>
  </w:endnote>
  <w:endnote w:id="11">
    <w:p w:rsidR="00A2637B" w:rsidRDefault="00A2637B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Gielen</w:t>
      </w:r>
      <w:proofErr w:type="spellEnd"/>
      <w:r>
        <w:t xml:space="preserve"> E, </w:t>
      </w:r>
      <w:proofErr w:type="spellStart"/>
      <w:r>
        <w:t>Verschueren</w:t>
      </w:r>
      <w:proofErr w:type="spellEnd"/>
      <w:r>
        <w:t xml:space="preserve"> S, </w:t>
      </w:r>
      <w:proofErr w:type="spellStart"/>
      <w:r>
        <w:t>O’neill</w:t>
      </w:r>
      <w:proofErr w:type="spellEnd"/>
      <w:r>
        <w:t xml:space="preserve"> TW et al. Musculoskeletal frailty: a geriatric syndrome at the core of fracture occurrence in older age. Calcified tissue International 2012;91:161-177.</w:t>
      </w:r>
    </w:p>
  </w:endnote>
  <w:endnote w:id="12">
    <w:p w:rsidR="00A2637B" w:rsidRDefault="00A2637B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Blaizot</w:t>
      </w:r>
      <w:proofErr w:type="spellEnd"/>
      <w:r>
        <w:t xml:space="preserve"> S, </w:t>
      </w:r>
      <w:proofErr w:type="spellStart"/>
      <w:r>
        <w:t>Boutroy</w:t>
      </w:r>
      <w:proofErr w:type="spellEnd"/>
      <w:r>
        <w:t xml:space="preserve"> S, </w:t>
      </w:r>
      <w:proofErr w:type="spellStart"/>
      <w:r>
        <w:t>Vilayphiou</w:t>
      </w:r>
      <w:proofErr w:type="spellEnd"/>
      <w:r>
        <w:t xml:space="preserve"> N et al. Poor bone microarchitecture in older  men with impaired physical performance- the STRAMBO study. Osteoporosis International 2012;23:2785-2796.</w:t>
      </w:r>
    </w:p>
  </w:endnote>
  <w:endnote w:id="13">
    <w:p w:rsidR="00FC7828" w:rsidRDefault="00FC7828">
      <w:pPr>
        <w:pStyle w:val="EndnoteText"/>
      </w:pPr>
      <w:r>
        <w:rPr>
          <w:rStyle w:val="EndnoteReference"/>
        </w:rPr>
        <w:endnoteRef/>
      </w:r>
      <w:r>
        <w:t xml:space="preserve"> Levis S, Theodore G. Summary of AHRQ comparative effectiveness review of treatment to prevent fractures in men and women with low bone mass or osteoporosis: Update of 2007 report. J </w:t>
      </w:r>
      <w:proofErr w:type="spellStart"/>
      <w:r>
        <w:t>Manag</w:t>
      </w:r>
      <w:proofErr w:type="spellEnd"/>
      <w:r>
        <w:t xml:space="preserve"> Care Pharm 2012</w:t>
      </w:r>
      <w:r w:rsidR="00DC7344">
        <w:t xml:space="preserve">; 18(4 </w:t>
      </w:r>
      <w:proofErr w:type="spellStart"/>
      <w:r w:rsidR="00DC7344">
        <w:t>suppl</w:t>
      </w:r>
      <w:proofErr w:type="spellEnd"/>
      <w:r w:rsidR="00DC7344">
        <w:t xml:space="preserve"> B):S1-15.</w:t>
      </w:r>
    </w:p>
  </w:endnote>
  <w:endnote w:id="14">
    <w:p w:rsidR="0052180B" w:rsidRDefault="0052180B">
      <w:pPr>
        <w:pStyle w:val="EndnoteText"/>
      </w:pPr>
      <w:r>
        <w:rPr>
          <w:rStyle w:val="EndnoteReference"/>
        </w:rPr>
        <w:endnoteRef/>
      </w:r>
      <w:r>
        <w:t xml:space="preserve"> Fernandez-</w:t>
      </w:r>
      <w:proofErr w:type="spellStart"/>
      <w:r>
        <w:t>Balsells</w:t>
      </w:r>
      <w:proofErr w:type="spellEnd"/>
      <w:r>
        <w:t xml:space="preserve"> MM, Murad MH, Lane M et al. Adverse effects of testosterone therapy in adult men: a systematic review and meta-analysis. Journal of Clinical Endocrinology and Metabolism 2010;95:2560-2575.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altName w:val="Helvetica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02" w:rsidRDefault="002B3802" w:rsidP="00D218AE">
      <w:r>
        <w:separator/>
      </w:r>
    </w:p>
  </w:footnote>
  <w:footnote w:type="continuationSeparator" w:id="0">
    <w:p w:rsidR="002B3802" w:rsidRDefault="002B3802" w:rsidP="00D2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5D04"/>
    <w:multiLevelType w:val="hybridMultilevel"/>
    <w:tmpl w:val="37CCE276"/>
    <w:lvl w:ilvl="0" w:tplc="4BAC7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2"/>
    <w:rsid w:val="00017895"/>
    <w:rsid w:val="00061881"/>
    <w:rsid w:val="00065187"/>
    <w:rsid w:val="00076599"/>
    <w:rsid w:val="000969DB"/>
    <w:rsid w:val="000E55CA"/>
    <w:rsid w:val="00137B1D"/>
    <w:rsid w:val="0015632D"/>
    <w:rsid w:val="001E5303"/>
    <w:rsid w:val="00211E23"/>
    <w:rsid w:val="00222669"/>
    <w:rsid w:val="002B3802"/>
    <w:rsid w:val="002D5FF9"/>
    <w:rsid w:val="00354572"/>
    <w:rsid w:val="00363DF6"/>
    <w:rsid w:val="0039785D"/>
    <w:rsid w:val="003E1B34"/>
    <w:rsid w:val="0041442C"/>
    <w:rsid w:val="0042485D"/>
    <w:rsid w:val="0048706D"/>
    <w:rsid w:val="00493F46"/>
    <w:rsid w:val="004B6635"/>
    <w:rsid w:val="004F010B"/>
    <w:rsid w:val="005122A4"/>
    <w:rsid w:val="0052180B"/>
    <w:rsid w:val="00563FA2"/>
    <w:rsid w:val="005B405F"/>
    <w:rsid w:val="006B460E"/>
    <w:rsid w:val="00707F33"/>
    <w:rsid w:val="00760AE9"/>
    <w:rsid w:val="007765EB"/>
    <w:rsid w:val="007C346C"/>
    <w:rsid w:val="007D3294"/>
    <w:rsid w:val="0082346E"/>
    <w:rsid w:val="008377D8"/>
    <w:rsid w:val="008A4603"/>
    <w:rsid w:val="00945C90"/>
    <w:rsid w:val="009A50B9"/>
    <w:rsid w:val="009C41B2"/>
    <w:rsid w:val="00A2637B"/>
    <w:rsid w:val="00A63095"/>
    <w:rsid w:val="00A65A0D"/>
    <w:rsid w:val="00A94E7E"/>
    <w:rsid w:val="00C50475"/>
    <w:rsid w:val="00C6216A"/>
    <w:rsid w:val="00C707AB"/>
    <w:rsid w:val="00C73F28"/>
    <w:rsid w:val="00CA2DAE"/>
    <w:rsid w:val="00CA63A8"/>
    <w:rsid w:val="00D218AE"/>
    <w:rsid w:val="00DC7344"/>
    <w:rsid w:val="00DE1492"/>
    <w:rsid w:val="00E3698C"/>
    <w:rsid w:val="00E4763D"/>
    <w:rsid w:val="00E9305E"/>
    <w:rsid w:val="00ED14E9"/>
    <w:rsid w:val="00EE33B0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492"/>
    <w:rPr>
      <w:color w:val="339999"/>
      <w:u w:val="single"/>
    </w:rPr>
  </w:style>
  <w:style w:type="paragraph" w:styleId="BalloonText">
    <w:name w:val="Balloon Text"/>
    <w:basedOn w:val="Normal"/>
    <w:link w:val="BalloonTextChar"/>
    <w:rsid w:val="00DE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492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E9305E"/>
    <w:rPr>
      <w:rFonts w:cs="Helvetica 55 Roman"/>
      <w:color w:val="000000"/>
      <w:sz w:val="18"/>
      <w:szCs w:val="18"/>
    </w:rPr>
  </w:style>
  <w:style w:type="paragraph" w:customStyle="1" w:styleId="Default">
    <w:name w:val="Default"/>
    <w:rsid w:val="00E9305E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07F3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D218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218AE"/>
  </w:style>
  <w:style w:type="character" w:styleId="EndnoteReference">
    <w:name w:val="endnote reference"/>
    <w:basedOn w:val="DefaultParagraphFont"/>
    <w:rsid w:val="00D218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6599"/>
    <w:pPr>
      <w:ind w:left="720"/>
      <w:contextualSpacing/>
    </w:pPr>
  </w:style>
  <w:style w:type="character" w:styleId="CommentReference">
    <w:name w:val="annotation reference"/>
    <w:basedOn w:val="DefaultParagraphFont"/>
    <w:rsid w:val="006B4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60E"/>
  </w:style>
  <w:style w:type="paragraph" w:styleId="CommentSubject">
    <w:name w:val="annotation subject"/>
    <w:basedOn w:val="CommentText"/>
    <w:next w:val="CommentText"/>
    <w:link w:val="CommentSubjectChar"/>
    <w:rsid w:val="006B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492"/>
    <w:rPr>
      <w:color w:val="339999"/>
      <w:u w:val="single"/>
    </w:rPr>
  </w:style>
  <w:style w:type="paragraph" w:styleId="BalloonText">
    <w:name w:val="Balloon Text"/>
    <w:basedOn w:val="Normal"/>
    <w:link w:val="BalloonTextChar"/>
    <w:rsid w:val="00DE1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492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E9305E"/>
    <w:rPr>
      <w:rFonts w:cs="Helvetica 55 Roman"/>
      <w:color w:val="000000"/>
      <w:sz w:val="18"/>
      <w:szCs w:val="18"/>
    </w:rPr>
  </w:style>
  <w:style w:type="paragraph" w:customStyle="1" w:styleId="Default">
    <w:name w:val="Default"/>
    <w:rsid w:val="00E9305E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07F33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rsid w:val="00D218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218AE"/>
  </w:style>
  <w:style w:type="character" w:styleId="EndnoteReference">
    <w:name w:val="endnote reference"/>
    <w:basedOn w:val="DefaultParagraphFont"/>
    <w:rsid w:val="00D218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6599"/>
    <w:pPr>
      <w:ind w:left="720"/>
      <w:contextualSpacing/>
    </w:pPr>
  </w:style>
  <w:style w:type="character" w:styleId="CommentReference">
    <w:name w:val="annotation reference"/>
    <w:basedOn w:val="DefaultParagraphFont"/>
    <w:rsid w:val="006B46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4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460E"/>
  </w:style>
  <w:style w:type="paragraph" w:styleId="CommentSubject">
    <w:name w:val="annotation subject"/>
    <w:basedOn w:val="CommentText"/>
    <w:next w:val="CommentText"/>
    <w:link w:val="CommentSubjectChar"/>
    <w:rsid w:val="006B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46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rgeongeneral.gov/library/reports/bonehealth/SurgeonGeneralOutreachKit_LowRe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srd.research.va.gov/publications/esp/Osteoporsis-2007-REPORT.pdf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ef.ac.uk/FRAX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spreventiveservicestaskforce.org/uspstf/uspsoste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f.org/files/nof/public/content/file/950/upload/52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2B12-593F-42FE-A298-66661E93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 Haley</dc:creator>
  <cp:lastModifiedBy>Murphy, Joe (NCPS)</cp:lastModifiedBy>
  <cp:revision>2</cp:revision>
  <dcterms:created xsi:type="dcterms:W3CDTF">2014-04-24T18:09:00Z</dcterms:created>
  <dcterms:modified xsi:type="dcterms:W3CDTF">2014-04-24T18:09:00Z</dcterms:modified>
</cp:coreProperties>
</file>